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07" w:rsidRDefault="00EA1925">
      <w:pPr>
        <w:spacing w:after="0"/>
        <w:ind w:right="495"/>
        <w:jc w:val="right"/>
      </w:pPr>
      <w:r>
        <w:rPr>
          <w:rFonts w:ascii="Times New Roman" w:eastAsia="Times New Roman" w:hAnsi="Times New Roman" w:cs="Times New Roman"/>
          <w:b/>
          <w:color w:val="385623"/>
          <w:sz w:val="28"/>
        </w:rPr>
        <w:t xml:space="preserve">Raport z publikacji zapytania ofertowego nr 20/13/02/2020 na Portalu Ogłoszeń </w:t>
      </w:r>
    </w:p>
    <w:p w:rsidR="00767907" w:rsidRDefault="00EA1925">
      <w:pPr>
        <w:spacing w:after="0"/>
        <w:ind w:right="18"/>
        <w:jc w:val="center"/>
      </w:pPr>
      <w:r>
        <w:rPr>
          <w:rFonts w:ascii="Times New Roman" w:eastAsia="Times New Roman" w:hAnsi="Times New Roman" w:cs="Times New Roman"/>
          <w:b/>
          <w:color w:val="385623"/>
          <w:sz w:val="28"/>
        </w:rPr>
        <w:t>ARiMR</w:t>
      </w:r>
    </w:p>
    <w:p w:rsidR="00767907" w:rsidRDefault="00EA1925">
      <w:pPr>
        <w:spacing w:after="0"/>
        <w:ind w:right="18"/>
        <w:jc w:val="center"/>
      </w:pPr>
      <w:r>
        <w:rPr>
          <w:rFonts w:ascii="Times New Roman" w:eastAsia="Times New Roman" w:hAnsi="Times New Roman" w:cs="Times New Roman"/>
          <w:i/>
          <w:color w:val="385623"/>
          <w:sz w:val="28"/>
        </w:rPr>
        <w:t>https://portalogloszen.arimr.gov.pl/</w:t>
      </w:r>
    </w:p>
    <w:p w:rsidR="00767907" w:rsidRDefault="00EA1925">
      <w:pPr>
        <w:spacing w:after="394"/>
      </w:pPr>
      <w:r>
        <w:rPr>
          <w:noProof/>
        </w:rPr>
        <w:drawing>
          <wp:inline distT="0" distB="0" distL="0" distR="0">
            <wp:extent cx="6638925" cy="4572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907" w:rsidRDefault="00EA192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Dane podstawowe</w:t>
      </w:r>
    </w:p>
    <w:tbl>
      <w:tblPr>
        <w:tblStyle w:val="TableGrid"/>
        <w:tblW w:w="10456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76790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i godzina publikacji ogłoszenia: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13.02.2020 10:17:38</w:t>
            </w:r>
          </w:p>
        </w:tc>
      </w:tr>
      <w:tr w:rsidR="0076790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i godzina wygenerowania raportu: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13.02.2020 10:19:09</w:t>
            </w:r>
          </w:p>
        </w:tc>
      </w:tr>
      <w:tr w:rsidR="0076790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Status: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Opublikowane</w:t>
            </w:r>
          </w:p>
        </w:tc>
      </w:tr>
      <w:tr w:rsidR="0076790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Rodzaj zamówienia: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Roboty budowlane</w:t>
            </w:r>
          </w:p>
        </w:tc>
      </w:tr>
      <w:tr w:rsidR="0076790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Działanie: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76790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Nabór: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</w:tr>
      <w:tr w:rsidR="0076790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Koniec terminu składania ofert: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28.02.2020</w:t>
            </w:r>
          </w:p>
        </w:tc>
      </w:tr>
      <w:tr w:rsidR="0076790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 realizacji zamówienia: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31.07.2020</w:t>
            </w:r>
          </w:p>
        </w:tc>
      </w:tr>
      <w:tr w:rsidR="0076790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Rodzaj planowanej inwestycji: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</w:tr>
      <w:tr w:rsidR="00767907">
        <w:trPr>
          <w:trHeight w:val="5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Branża: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</w:tr>
    </w:tbl>
    <w:p w:rsidR="00767907" w:rsidRDefault="00EA1925">
      <w:pPr>
        <w:spacing w:after="21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Lokalizacja planowanej inwestycji</w:t>
      </w:r>
    </w:p>
    <w:p w:rsidR="00767907" w:rsidRDefault="00EA1925">
      <w:pPr>
        <w:spacing w:after="589" w:line="238" w:lineRule="auto"/>
      </w:pPr>
      <w:r>
        <w:rPr>
          <w:rFonts w:ascii="Times New Roman" w:eastAsia="Times New Roman" w:hAnsi="Times New Roman" w:cs="Times New Roman"/>
          <w:sz w:val="24"/>
        </w:rPr>
        <w:t>1. POLSKA, Województwo PODKARPACKIE, Powiat bieszczadzki,</w:t>
      </w:r>
      <w:r w:rsidR="00F4432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Gmina Ustrzyki Dolne (gmina miejsko-wiejska)</w:t>
      </w:r>
    </w:p>
    <w:p w:rsidR="00767907" w:rsidRDefault="00EA192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Dane dodatkowe</w:t>
      </w:r>
    </w:p>
    <w:tbl>
      <w:tblPr>
        <w:tblStyle w:val="TableGrid"/>
        <w:tblW w:w="10456" w:type="dxa"/>
        <w:tblInd w:w="5" w:type="dxa"/>
        <w:tblCellMar>
          <w:top w:w="6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767907">
        <w:trPr>
          <w:trHeight w:val="44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Opis przedmiotu zamówienia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 w:line="238" w:lineRule="auto"/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Przedmiotem zamówienia jest wykonanie robót budowlanych w ramach zadania pn.: „Rozwój ogólnodostępnej infrastruktury turystyczno-rekreacyjnej w Gminie Ustrzyki Dolne poprzez budowę skateparku” Kody CPV: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45212140-9  Obiekty rekreacyjne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45233200-1  Roboty w </w:t>
            </w:r>
            <w:r>
              <w:rPr>
                <w:rFonts w:ascii="Times New Roman" w:eastAsia="Times New Roman" w:hAnsi="Times New Roman" w:cs="Times New Roman"/>
                <w:sz w:val="24"/>
              </w:rPr>
              <w:t>zakresie różnych nawierzchni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45223820-0  Gotowe elementy i części składowe</w:t>
            </w:r>
          </w:p>
          <w:p w:rsidR="00767907" w:rsidRDefault="00EA1925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45111200-9  Roboty w zakresie przygotowania terenu pod budowę i roboty ziemne</w:t>
            </w:r>
          </w:p>
          <w:p w:rsidR="00767907" w:rsidRDefault="00EA192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3A. Zakres rzeczowy zamówienia obejmuje:</w:t>
            </w:r>
          </w:p>
          <w:p w:rsidR="00767907" w:rsidRDefault="00EA1925">
            <w:pPr>
              <w:numPr>
                <w:ilvl w:val="0"/>
                <w:numId w:val="1"/>
              </w:num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Wykonanie płyty skateparku o wymiarach 25,00 x 15,00 m o nawie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rzchni żelbetowej.  </w:t>
            </w:r>
          </w:p>
          <w:p w:rsidR="00767907" w:rsidRDefault="00EA1925">
            <w:pPr>
              <w:numPr>
                <w:ilvl w:val="0"/>
                <w:numId w:val="1"/>
              </w:num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>Wykonanie ciągu pieszego z kostki brukowej szarej.</w:t>
            </w:r>
          </w:p>
          <w:p w:rsidR="00767907" w:rsidRDefault="00EA1925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Dostawa i montaż elementów skateparku: Lp.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Nazwa urządzenia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Ilość 1.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Bank ramp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 szt.</w:t>
            </w:r>
          </w:p>
        </w:tc>
      </w:tr>
    </w:tbl>
    <w:p w:rsidR="00767907" w:rsidRDefault="00767907">
      <w:pPr>
        <w:spacing w:after="0"/>
        <w:ind w:left="-720" w:right="23"/>
      </w:pPr>
    </w:p>
    <w:tbl>
      <w:tblPr>
        <w:tblStyle w:val="TableGrid"/>
        <w:tblW w:w="10456" w:type="dxa"/>
        <w:tblInd w:w="5" w:type="dxa"/>
        <w:tblCellMar>
          <w:top w:w="29" w:type="dxa"/>
          <w:left w:w="0" w:type="dxa"/>
          <w:bottom w:w="5" w:type="dxa"/>
          <w:right w:w="84" w:type="dxa"/>
        </w:tblCellMar>
        <w:tblLook w:val="04A0" w:firstRow="1" w:lastRow="0" w:firstColumn="1" w:lastColumn="0" w:noHBand="0" w:noVBand="1"/>
      </w:tblPr>
      <w:tblGrid>
        <w:gridCol w:w="2547"/>
        <w:gridCol w:w="3648"/>
        <w:gridCol w:w="4261"/>
      </w:tblGrid>
      <w:tr w:rsidR="00767907" w:rsidTr="00F44328">
        <w:trPr>
          <w:trHeight w:val="3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907" w:rsidRDefault="00767907"/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7907" w:rsidRDefault="00EA1925">
            <w:pPr>
              <w:tabs>
                <w:tab w:val="center" w:pos="198"/>
                <w:tab w:val="center" w:pos="205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Funbox z grindboxem 3/1 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</w:tr>
      <w:tr w:rsidR="00767907" w:rsidTr="00F44328">
        <w:trPr>
          <w:trHeight w:val="82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7907" w:rsidRDefault="00767907"/>
        </w:tc>
        <w:tc>
          <w:tcPr>
            <w:tcW w:w="36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7907" w:rsidRDefault="00EA1925">
            <w:pPr>
              <w:numPr>
                <w:ilvl w:val="0"/>
                <w:numId w:val="2"/>
              </w:numPr>
              <w:spacing w:after="12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>Quarter pipe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 szt.</w:t>
            </w:r>
          </w:p>
          <w:p w:rsidR="00767907" w:rsidRDefault="00EA1925">
            <w:pPr>
              <w:numPr>
                <w:ilvl w:val="0"/>
                <w:numId w:val="2"/>
              </w:numPr>
              <w:spacing w:after="12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>Poręcz prosta 1 szt.</w:t>
            </w:r>
          </w:p>
          <w:p w:rsidR="00767907" w:rsidRDefault="00EA1925">
            <w:pPr>
              <w:numPr>
                <w:ilvl w:val="0"/>
                <w:numId w:val="2"/>
              </w:numPr>
              <w:spacing w:after="0"/>
              <w:ind w:hanging="708"/>
            </w:pPr>
            <w:r>
              <w:rPr>
                <w:rFonts w:ascii="Times New Roman" w:eastAsia="Times New Roman" w:hAnsi="Times New Roman" w:cs="Times New Roman"/>
                <w:sz w:val="24"/>
              </w:rPr>
              <w:t>Grindbox 9 + grindbox 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</w:tr>
      <w:tr w:rsidR="00767907" w:rsidTr="00F44328">
        <w:trPr>
          <w:trHeight w:val="69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7907" w:rsidRDefault="00767907"/>
        </w:tc>
        <w:tc>
          <w:tcPr>
            <w:tcW w:w="36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7907" w:rsidRDefault="00EA1925">
            <w:pPr>
              <w:spacing w:after="0"/>
              <w:ind w:left="108" w:right="596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Ławka 1 szt. 7.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Tablica regulaminowa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</w:tr>
      <w:tr w:rsidR="00767907" w:rsidTr="00F44328">
        <w:trPr>
          <w:trHeight w:val="130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  <w:tc>
          <w:tcPr>
            <w:tcW w:w="7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907" w:rsidRDefault="00EA1925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Szczegółowy opis przedmiotu zamówienia znajduje się w Dokumentacji Technicznej, którą stanowi załącznik nr 9.</w:t>
            </w:r>
          </w:p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Pomocniczo załączono przedmiar robót jako załącznik nr 7.</w:t>
            </w:r>
          </w:p>
          <w:p w:rsidR="00767907" w:rsidRDefault="00EA1925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Wykonawca wyłoniony w drodze zapytania ofertowego zobowiązany jest do :</w:t>
            </w:r>
          </w:p>
          <w:p w:rsidR="00767907" w:rsidRDefault="00EA1925">
            <w:pPr>
              <w:numPr>
                <w:ilvl w:val="0"/>
                <w:numId w:val="3"/>
              </w:num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>urządzenia i zagospodarowania placu i zaplecza budowy,</w:t>
            </w:r>
          </w:p>
          <w:p w:rsidR="00767907" w:rsidRDefault="00EA1925">
            <w:pPr>
              <w:numPr>
                <w:ilvl w:val="0"/>
                <w:numId w:val="3"/>
              </w:num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zapewnienia we własnym zakresie zasilania w energię elektryczną oraz dostawę wody technologicznej i spożywczej,</w:t>
            </w:r>
          </w:p>
          <w:p w:rsidR="00767907" w:rsidRDefault="00EA1925">
            <w:pPr>
              <w:numPr>
                <w:ilvl w:val="0"/>
                <w:numId w:val="3"/>
              </w:num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>utrzymania zaplecza budowy,</w:t>
            </w:r>
          </w:p>
          <w:p w:rsidR="00767907" w:rsidRDefault="00EA1925">
            <w:pPr>
              <w:numPr>
                <w:ilvl w:val="0"/>
                <w:numId w:val="3"/>
              </w:num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przywrócenia terenu do stanu pierwotnego w miejscach nie przewidzianych pod roboty inwestycyjne a zajętych w trakcie robót, -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usunięcia zaistniałych kolizji w trakcie realizacji zamówienia, 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sporządzenia operatu kolaudacyjnego</w:t>
            </w:r>
            <w:r>
              <w:rPr>
                <w:rFonts w:ascii="Times New Roman" w:eastAsia="Times New Roman" w:hAnsi="Times New Roman" w:cs="Times New Roman"/>
                <w:sz w:val="24"/>
              </w:rPr>
              <w:t>, który ma zawierać: umowy z ewentualnymi podwykonawcami i dalszymi podwykonawcami, protokół przekazania terenu budowy, protokoły odbioru robót, komplet atestów, certyfikatów i aprobat technicznych na wbudowane materiały budowlane, końcowy protokół odbioru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oświadczenie uprawnionych kierowników robót o wykonaniu zadania zgodnie z przepisami, powykonawczej inwentaryzacji geodezyjnej oraz wszystkie niezbędne dokumenty do przekazania obiektu do użytkowania,  </w:t>
            </w:r>
          </w:p>
          <w:p w:rsidR="00767907" w:rsidRDefault="00EA1925">
            <w:pPr>
              <w:numPr>
                <w:ilvl w:val="0"/>
                <w:numId w:val="3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zapewnienia i zabezpieczenia dojść w trakcie realiz</w:t>
            </w:r>
            <w:r>
              <w:rPr>
                <w:rFonts w:ascii="Times New Roman" w:eastAsia="Times New Roman" w:hAnsi="Times New Roman" w:cs="Times New Roman"/>
                <w:sz w:val="24"/>
              </w:rPr>
              <w:t>acji robót, -   zabezpieczenia mienia przed kradzieżą w czasie trwania budowy, -   uporządkowania terenu po wykonaniu zamówienia.</w:t>
            </w:r>
          </w:p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67907" w:rsidRDefault="00EA1925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Za bezpieczeństwo publiczne ludzi i mienia związane z prowadzonymi robotami odpowiada Wykonawca robót.</w:t>
            </w:r>
          </w:p>
          <w:p w:rsidR="00767907" w:rsidRDefault="00EA1925">
            <w:pPr>
              <w:numPr>
                <w:ilvl w:val="0"/>
                <w:numId w:val="4"/>
              </w:numPr>
              <w:spacing w:after="0"/>
              <w:ind w:right="494"/>
            </w:pPr>
            <w:r>
              <w:rPr>
                <w:rFonts w:ascii="Times New Roman" w:eastAsia="Times New Roman" w:hAnsi="Times New Roman" w:cs="Times New Roman"/>
                <w:sz w:val="24"/>
              </w:rPr>
              <w:t>Forma wynagrodzenia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wynagrodzenie ryczałtowe.</w:t>
            </w:r>
          </w:p>
          <w:p w:rsidR="00767907" w:rsidRDefault="00EA1925">
            <w:pPr>
              <w:numPr>
                <w:ilvl w:val="0"/>
                <w:numId w:val="4"/>
              </w:numPr>
              <w:spacing w:after="0" w:line="238" w:lineRule="auto"/>
              <w:ind w:right="4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Zamawiający w niniejszym postępowaniu dopuszcza składanie ofert          zawierających towary (materiały i urządzenia) równoważne, a wszelkie towary          </w:t>
            </w:r>
          </w:p>
          <w:p w:rsidR="00767907" w:rsidRDefault="00EA1925">
            <w:pPr>
              <w:spacing w:after="0" w:line="238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(materiały i urządzenia) określone w dokumentacji, pochodzące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od konkretnych        producentów, określają minimalne parametry jakościowe i cechy użytkowe, jakim </w:t>
            </w:r>
          </w:p>
          <w:p w:rsidR="00767907" w:rsidRDefault="00EA1925">
            <w:pPr>
              <w:spacing w:after="0" w:line="238" w:lineRule="auto"/>
              <w:ind w:left="108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muszą odpowiadać towary, aby spełnić wymagania stawiane przez        Zamawiającego. Wykonawca może powołać się w ofercie na zastosowanie       towar</w:t>
            </w:r>
            <w:r>
              <w:rPr>
                <w:rFonts w:ascii="Times New Roman" w:eastAsia="Times New Roman" w:hAnsi="Times New Roman" w:cs="Times New Roman"/>
                <w:sz w:val="24"/>
              </w:rPr>
              <w:t>ów (materiałów i urządzeń) równoważnych opisywanych w specyfikacji       istotnych warunków zamówienia, składając Wykaz towarów (materiałów       i urządzeń) równoważnych, określony w pkt 3. wraz z dokumentami       wymaganymi w pkt 11H.7. SIWZ W takim prz</w:t>
            </w:r>
            <w:r>
              <w:rPr>
                <w:rFonts w:ascii="Times New Roman" w:eastAsia="Times New Roman" w:hAnsi="Times New Roman" w:cs="Times New Roman"/>
                <w:sz w:val="24"/>
              </w:rPr>
              <w:t>ypadku Wykonawca jest obowiązany       wykazać, że oferowane przez niego towary (materiały i urządzenia), spełniają       określone przez Zamawiającego wymagania (kryteria równoważności).</w:t>
            </w:r>
          </w:p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4. Zamawiający w niniejszym postępowaniu dopuszcza zastosowanie prze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        Wykonawców rozwiązań równoważnych w stosunku do rozwiązań opisanych </w:t>
            </w:r>
          </w:p>
        </w:tc>
      </w:tr>
    </w:tbl>
    <w:p w:rsidR="00767907" w:rsidRDefault="00767907">
      <w:pPr>
        <w:spacing w:after="0"/>
        <w:ind w:left="-720" w:right="23"/>
        <w:jc w:val="both"/>
      </w:pPr>
    </w:p>
    <w:tbl>
      <w:tblPr>
        <w:tblStyle w:val="TableGrid"/>
        <w:tblW w:w="10456" w:type="dxa"/>
        <w:tblInd w:w="5" w:type="dxa"/>
        <w:tblCellMar>
          <w:top w:w="63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767907">
        <w:trPr>
          <w:trHeight w:val="33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 w:line="238" w:lineRule="auto"/>
              <w:ind w:right="4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w niniejszej specyfikacji istotnych warunków zamówienia. Wykonawca może        powołać się w ofercie na zastosowanie rozwiązań równoważnych opisywanym </w:t>
            </w:r>
          </w:p>
          <w:p w:rsidR="00767907" w:rsidRDefault="00EA1925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w specyfikacji istotnych warunków zamówienia składając Opis rozwiązań       równoważnych, określony w pkt 11H.6  SIWZ wraz z dokumentami wymaganymi w pkt   </w:t>
            </w:r>
          </w:p>
          <w:p w:rsidR="00767907" w:rsidRDefault="00EA1925">
            <w:pPr>
              <w:spacing w:after="0"/>
              <w:ind w:righ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11H.7. SIWZ . W takim przypadku Wykonawca jest obowiązany wykazać, że oferowane        p</w:t>
            </w:r>
            <w:r>
              <w:rPr>
                <w:rFonts w:ascii="Times New Roman" w:eastAsia="Times New Roman" w:hAnsi="Times New Roman" w:cs="Times New Roman"/>
                <w:sz w:val="24"/>
              </w:rPr>
              <w:t>rzez niego roboty budowlane spełniają określone przez Zamawiającego        wymagania (kryteria równoważności).</w:t>
            </w:r>
          </w:p>
        </w:tc>
      </w:tr>
      <w:tr w:rsidR="00767907">
        <w:trPr>
          <w:trHeight w:val="16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Kryteria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kryterium: cena, waga: 60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kryterium: okres gwarancji, waga: 40</w:t>
            </w:r>
          </w:p>
        </w:tc>
      </w:tr>
      <w:tr w:rsidR="00767907">
        <w:trPr>
          <w:trHeight w:val="994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Opis sposobu przyznania punktacji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Kryteriami wyboru najkorzystniejszej oferty są:</w:t>
            </w:r>
          </w:p>
          <w:p w:rsidR="00767907" w:rsidRDefault="00EA1925">
            <w:pPr>
              <w:numPr>
                <w:ilvl w:val="0"/>
                <w:numId w:val="5"/>
              </w:numPr>
              <w:spacing w:after="0"/>
              <w:ind w:hanging="320"/>
            </w:pPr>
            <w:r>
              <w:rPr>
                <w:rFonts w:ascii="Times New Roman" w:eastAsia="Times New Roman" w:hAnsi="Times New Roman" w:cs="Times New Roman"/>
                <w:sz w:val="24"/>
              </w:rPr>
              <w:t>Cena:                  - 60%</w:t>
            </w:r>
          </w:p>
          <w:p w:rsidR="00767907" w:rsidRDefault="00EA1925">
            <w:pPr>
              <w:numPr>
                <w:ilvl w:val="0"/>
                <w:numId w:val="5"/>
              </w:numPr>
              <w:spacing w:after="0"/>
              <w:ind w:hanging="320"/>
            </w:pPr>
            <w:r>
              <w:rPr>
                <w:rFonts w:ascii="Times New Roman" w:eastAsia="Times New Roman" w:hAnsi="Times New Roman" w:cs="Times New Roman"/>
                <w:sz w:val="24"/>
              </w:rPr>
              <w:t>Długość okresu gwarancji  - 40%</w:t>
            </w:r>
          </w:p>
          <w:p w:rsidR="00767907" w:rsidRDefault="00EA1925">
            <w:pPr>
              <w:numPr>
                <w:ilvl w:val="0"/>
                <w:numId w:val="6"/>
              </w:numPr>
              <w:spacing w:after="0" w:line="238" w:lineRule="auto"/>
              <w:ind w:right="280"/>
            </w:pPr>
            <w:r>
              <w:rPr>
                <w:rFonts w:ascii="Times New Roman" w:eastAsia="Times New Roman" w:hAnsi="Times New Roman" w:cs="Times New Roman"/>
                <w:sz w:val="24"/>
              </w:rPr>
              <w:t>Za najkorzystniejszą zostanie uznana oferta (spośród wszystkich złożonych          w postępowaniu ofert niepodlegających odrzuceniu), która otrzyma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największą          łączną liczbę punktów z poszczególnych kryteriów oceny ofert.</w:t>
            </w:r>
          </w:p>
          <w:p w:rsidR="00767907" w:rsidRDefault="00EA1925">
            <w:pPr>
              <w:numPr>
                <w:ilvl w:val="0"/>
                <w:numId w:val="6"/>
              </w:numPr>
              <w:spacing w:after="0"/>
              <w:ind w:right="2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Sposób przyznawania punktów:                 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cena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Cmin</w:t>
            </w:r>
          </w:p>
          <w:p w:rsidR="00767907" w:rsidRDefault="00EA1925">
            <w:pPr>
              <w:spacing w:after="0" w:line="238" w:lineRule="auto"/>
              <w:ind w:right="5503"/>
            </w:pPr>
            <w:r>
              <w:rPr>
                <w:rFonts w:ascii="Times New Roman" w:eastAsia="Times New Roman" w:hAnsi="Times New Roman" w:cs="Times New Roman"/>
                <w:sz w:val="24"/>
              </w:rPr>
              <w:t>C = ---------- x 60         Cbad.</w:t>
            </w:r>
          </w:p>
          <w:p w:rsidR="00767907" w:rsidRDefault="00EA1925">
            <w:pPr>
              <w:spacing w:after="0" w:line="238" w:lineRule="auto"/>
              <w:ind w:right="65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gdzie:</w:t>
            </w:r>
          </w:p>
          <w:p w:rsidR="00767907" w:rsidRDefault="00EA1925">
            <w:pPr>
              <w:spacing w:after="0" w:line="238" w:lineRule="auto"/>
              <w:ind w:right="14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C        – ilość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punktów oferty badanej w kryterium cena         Cmin.   – najniższa cena (stawka brutto) spośród wszystkich podlegających         ocenie ofert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Cbad. – cena (stawka brutto) oferty badanej</w:t>
            </w:r>
          </w:p>
          <w:p w:rsidR="00767907" w:rsidRDefault="00EA1925">
            <w:pPr>
              <w:spacing w:after="2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Maksymalną liczbę 60 punktów otrzyma Wykonawca, który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poda najniższą        cenę – stawkę brutto. </w:t>
            </w:r>
          </w:p>
          <w:p w:rsidR="00767907" w:rsidRDefault="00EA1925">
            <w:pPr>
              <w:tabs>
                <w:tab w:val="center" w:pos="28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- długość okresu gwarancji 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Gwbad</w:t>
            </w:r>
          </w:p>
          <w:p w:rsidR="00767907" w:rsidRDefault="00EA1925">
            <w:pPr>
              <w:spacing w:after="0" w:line="238" w:lineRule="auto"/>
              <w:ind w:right="5758"/>
            </w:pPr>
            <w:r>
              <w:rPr>
                <w:rFonts w:ascii="Times New Roman" w:eastAsia="Times New Roman" w:hAnsi="Times New Roman" w:cs="Times New Roman"/>
                <w:sz w:val="24"/>
              </w:rPr>
              <w:t>Gw = ---------- x 40            Gwmax         gdzie:</w:t>
            </w:r>
          </w:p>
          <w:p w:rsidR="00767907" w:rsidRDefault="00EA1925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Gw      –  ilość punktów oferty badanej w kryterium długość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okresu                         gwarancji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Gwbad  – ilość miesięcy gwarancji w ofercie badanej</w:t>
            </w:r>
          </w:p>
          <w:p w:rsidR="00767907" w:rsidRDefault="00EA1925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Gwmax  – najwyższa zaoferowana ilość miesięcy gwarancji jakości spośród wszystkich podlegających ocenie ofert</w:t>
            </w:r>
          </w:p>
          <w:p w:rsidR="00767907" w:rsidRDefault="00EA1925">
            <w:pPr>
              <w:spacing w:after="0" w:line="238" w:lineRule="auto"/>
              <w:ind w:right="3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Minimalny okres gwarancji jakości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36 miesięcy od daty odbioru robót.           Wykonawca, który udzieli gwarancji na okres 36 miesięcy – otrzyma 0 punktów.   </w:t>
            </w:r>
          </w:p>
          <w:p w:rsidR="00767907" w:rsidRDefault="00EA1925">
            <w:pPr>
              <w:spacing w:after="0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W przypadku zaoferowania przez Wykonawcę krótszej gwarancji jakości, oferta           będzie podlegała odrzuceniu.</w:t>
            </w:r>
          </w:p>
        </w:tc>
      </w:tr>
    </w:tbl>
    <w:p w:rsidR="00767907" w:rsidRDefault="00767907">
      <w:pPr>
        <w:spacing w:after="0"/>
        <w:ind w:left="-720" w:right="23"/>
      </w:pPr>
    </w:p>
    <w:tbl>
      <w:tblPr>
        <w:tblStyle w:val="TableGrid"/>
        <w:tblW w:w="10456" w:type="dxa"/>
        <w:tblInd w:w="5" w:type="dxa"/>
        <w:tblCellMar>
          <w:top w:w="6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767907">
        <w:trPr>
          <w:trHeight w:val="44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numPr>
                <w:ilvl w:val="0"/>
                <w:numId w:val="7"/>
              </w:numPr>
              <w:spacing w:after="0" w:line="238" w:lineRule="auto"/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>Maksymalny punktowany przez Zamawiającego okres gwarancji jakości –          60 miesięcy od daty odbioru robót. Wykonawca, który zaoferuje okres           gwarancji jakości licząc od dnia odbioru robót w liczbie miesięcy 60  i więcej –         otrzyma 40 p</w:t>
            </w:r>
            <w:r>
              <w:rPr>
                <w:rFonts w:ascii="Times New Roman" w:eastAsia="Times New Roman" w:hAnsi="Times New Roman" w:cs="Times New Roman"/>
                <w:sz w:val="24"/>
              </w:rPr>
              <w:t>kt.</w:t>
            </w:r>
          </w:p>
          <w:p w:rsidR="00767907" w:rsidRDefault="00EA1925">
            <w:pPr>
              <w:numPr>
                <w:ilvl w:val="0"/>
                <w:numId w:val="7"/>
              </w:numPr>
              <w:spacing w:after="0" w:line="238" w:lineRule="auto"/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przypadku, gdy którykolwiek z Wykonawców zaoferuje gwarancję jakości                           </w:t>
            </w:r>
          </w:p>
          <w:p w:rsidR="00767907" w:rsidRDefault="00EA1925">
            <w:pPr>
              <w:spacing w:after="0" w:line="238" w:lineRule="auto"/>
              <w:ind w:right="4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licząc od daty odbioru robót dłuższą niż 60 miesięcy, Zamawiający do obliczenia punktacji wszystkich wykonawców w kryterium gwarancja jakość  (Gw</w:t>
            </w:r>
            <w:r>
              <w:rPr>
                <w:rFonts w:ascii="Times New Roman" w:eastAsia="Times New Roman" w:hAnsi="Times New Roman" w:cs="Times New Roman"/>
                <w:sz w:val="24"/>
              </w:rPr>
              <w:t>) przyjmie okres gwarancji (Gw max) jako 60 miesięcy od daty odbioru robót.</w:t>
            </w:r>
          </w:p>
          <w:p w:rsidR="00767907" w:rsidRDefault="00EA1925">
            <w:pPr>
              <w:numPr>
                <w:ilvl w:val="0"/>
                <w:numId w:val="7"/>
              </w:numPr>
              <w:spacing w:after="0" w:line="238" w:lineRule="auto"/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>Za najkorzystniejszą zostanie uznana oferta (spośród wszystkich złożonych  w postępowaniu ofert niepodlegających odrzuceniu), która otrzyma największą           łączną liczbę punkt</w:t>
            </w:r>
            <w:r>
              <w:rPr>
                <w:rFonts w:ascii="Times New Roman" w:eastAsia="Times New Roman" w:hAnsi="Times New Roman" w:cs="Times New Roman"/>
                <w:sz w:val="24"/>
              </w:rPr>
              <w:t>ów w poszczególnych kryteriach oceny ofert (C+Gw).</w:t>
            </w:r>
          </w:p>
          <w:p w:rsidR="00767907" w:rsidRDefault="00EA1925">
            <w:pPr>
              <w:numPr>
                <w:ilvl w:val="0"/>
                <w:numId w:val="7"/>
              </w:numPr>
              <w:spacing w:after="0"/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>Obliczenia dokonywane będą z dokładnością do dwóch miejsc po przecinku.</w:t>
            </w:r>
          </w:p>
        </w:tc>
      </w:tr>
      <w:tr w:rsidR="00767907">
        <w:trPr>
          <w:trHeight w:val="104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29" w:line="238" w:lineRule="auto"/>
              <w:ind w:right="3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udzielenie zamówienia mogą ubiegać się Wykonawcy, którzy nie         podlegają wykluczeniu oraz </w:t>
            </w:r>
            <w:r>
              <w:rPr>
                <w:rFonts w:ascii="Times New Roman" w:eastAsia="Times New Roman" w:hAnsi="Times New Roman" w:cs="Times New Roman"/>
                <w:sz w:val="24"/>
              </w:rPr>
              <w:t>spełniają warunki udziału w postępowaniu                 dotyczące:</w:t>
            </w:r>
          </w:p>
          <w:p w:rsidR="00767907" w:rsidRDefault="00EA1925">
            <w:pPr>
              <w:numPr>
                <w:ilvl w:val="0"/>
                <w:numId w:val="8"/>
              </w:num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Posiadania kompetencji lub uprawnień do prowadzenia określonej działalności zawodowej, o ile wynika to z odrębnych przepisów;</w:t>
            </w:r>
          </w:p>
          <w:p w:rsidR="00767907" w:rsidRDefault="00EA1925">
            <w:pPr>
              <w:numPr>
                <w:ilvl w:val="0"/>
                <w:numId w:val="8"/>
              </w:numPr>
              <w:spacing w:after="26"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Zdolności technicznej lub zawodowej; w celu potwierdzenia speł</w:t>
            </w:r>
            <w:r>
              <w:rPr>
                <w:rFonts w:ascii="Times New Roman" w:eastAsia="Times New Roman" w:hAnsi="Times New Roman" w:cs="Times New Roman"/>
                <w:sz w:val="24"/>
              </w:rPr>
              <w:t>nienia przez Wykonawcę warunków udziału w postępowaniu Zamawiający wymaga, aby Wykonawcy:</w:t>
            </w:r>
          </w:p>
          <w:p w:rsidR="00767907" w:rsidRDefault="00EA1925">
            <w:pPr>
              <w:numPr>
                <w:ilvl w:val="0"/>
                <w:numId w:val="9"/>
              </w:numPr>
              <w:spacing w:after="275" w:line="239" w:lineRule="auto"/>
              <w:ind w:right="5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wykazali, że wykonali należycie w okresie ostatnich pięciu lat przed upływem terminu składania ofert albo wniosków o dopuszczenie do udziału w postępowaniu, a jeżeli </w:t>
            </w:r>
            <w:r>
              <w:rPr>
                <w:rFonts w:ascii="Times New Roman" w:eastAsia="Times New Roman" w:hAnsi="Times New Roman" w:cs="Times New Roman"/>
                <w:sz w:val="24"/>
              </w:rPr>
              <w:t>okres prowadzenia działalności jest krótszy w tym okresie, co najmniej dwa zadania, które odpowiadają swoim rodzajem i wartością robót budowlanych (minimum 150 000,00 zł brutto) zadaniu stanowiącym przedmiot zamówienia. Za spełniające warunek uważa się wyk</w:t>
            </w:r>
            <w:r>
              <w:rPr>
                <w:rFonts w:ascii="Times New Roman" w:eastAsia="Times New Roman" w:hAnsi="Times New Roman" w:cs="Times New Roman"/>
                <w:sz w:val="24"/>
              </w:rPr>
              <w:t>onanie skateparku wraz z infrastrukturą towarzyszącą.</w:t>
            </w:r>
          </w:p>
          <w:p w:rsidR="00767907" w:rsidRDefault="00EA1925">
            <w:pPr>
              <w:spacing w:after="29" w:line="238" w:lineRule="auto"/>
              <w:ind w:right="97"/>
            </w:pPr>
            <w:r>
              <w:rPr>
                <w:rFonts w:ascii="Times New Roman" w:eastAsia="Times New Roman" w:hAnsi="Times New Roman" w:cs="Times New Roman"/>
                <w:sz w:val="24"/>
              </w:rPr>
              <w:t>Wartość robót w walucie innej niż PLN, Wykonawca powinien przeliczyć na PLN wg średniego kursu NBP z dnia publikacji ogłoszenia o niniejszym    zamówieniu, natomiast w przypadku braku przeliczenia przez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Wykonawcę  Zamawiający dokona przeliczenia na PLN wg kursu średniego NBP na dzień, w którym opublikowano ogłoszenie o niniejszym zamówieniu.</w:t>
            </w:r>
          </w:p>
          <w:p w:rsidR="00767907" w:rsidRDefault="00EA1925">
            <w:pPr>
              <w:numPr>
                <w:ilvl w:val="0"/>
                <w:numId w:val="9"/>
              </w:numPr>
              <w:spacing w:after="27" w:line="240" w:lineRule="auto"/>
              <w:ind w:right="503"/>
            </w:pPr>
            <w:r>
              <w:rPr>
                <w:rFonts w:ascii="Times New Roman" w:eastAsia="Times New Roman" w:hAnsi="Times New Roman" w:cs="Times New Roman"/>
                <w:sz w:val="24"/>
              </w:rPr>
              <w:t>dysponowali osobami, które będą skierowane przez Wykonawcę do realizacji zamówienia, umożliwiające realizację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zamówienia na odpowiednim poziomie jakości, posiadającymi wymagane uprawnienia budowlane do kierowania robotami budowlanymi:</w:t>
            </w:r>
          </w:p>
          <w:p w:rsidR="00767907" w:rsidRDefault="00EA1925">
            <w:pPr>
              <w:tabs>
                <w:tab w:val="center" w:pos="100"/>
                <w:tab w:val="center" w:pos="408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w specjalności konstrukcyjno – budowlanej bez ograniczeń – 1 osoba,</w:t>
            </w:r>
          </w:p>
          <w:p w:rsidR="00767907" w:rsidRDefault="00EA1925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posiadali uprawnienia wydane zgodnie z ustawą z dnia 7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lipca 1994r. Prawo       budowlane (j.t. Dz. U. z 2019 r. poz. 1186 z późn. zm.) oraz 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Rozporządzeniem </w:t>
            </w:r>
          </w:p>
          <w:p w:rsidR="00767907" w:rsidRDefault="00EA1925">
            <w:pPr>
              <w:spacing w:after="0" w:line="238" w:lineRule="auto"/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Ministra Infrastruktury i Rozwoju z dnia 11 września 2014 r. w sprawie       samodzielnych funkcji technicznych w budownictwie (Dz. U. z 2014 r. po</w:t>
            </w:r>
            <w:r>
              <w:rPr>
                <w:rFonts w:ascii="Times New Roman" w:eastAsia="Times New Roman" w:hAnsi="Times New Roman" w:cs="Times New Roman"/>
                <w:sz w:val="24"/>
              </w:rPr>
              <w:t>z.       1278) albo odpowiadające im ważne uprawnienia budowlane, które zostały       wydane  na podstawie  wcześniej  obowiązujących przepisów. Zamawiający,       określając wymogi dla każdej osoby w zakresie posiadanych uprawnień      budowlanych dopuszc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 odpowiadające im uprawnienia budowlane wydane  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obywatelom państw Europejskiego Obszaru Gospodarczego oraz 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Konfederacji  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Szwajcarskiej, z zastrzeżeniem art. 12 a oraz innych przepisów ustawy </w:t>
            </w:r>
          </w:p>
        </w:tc>
      </w:tr>
    </w:tbl>
    <w:p w:rsidR="00767907" w:rsidRDefault="00767907">
      <w:pPr>
        <w:spacing w:after="0"/>
        <w:ind w:left="-720" w:right="23"/>
      </w:pPr>
    </w:p>
    <w:tbl>
      <w:tblPr>
        <w:tblStyle w:val="TableGrid"/>
        <w:tblW w:w="10456" w:type="dxa"/>
        <w:tblInd w:w="5" w:type="dxa"/>
        <w:tblCellMar>
          <w:top w:w="63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767907">
        <w:trPr>
          <w:trHeight w:val="635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Prawo       budowlane oraz ustawy z dnia 22 grudnia 2015 r. o zasadach uznawania       kwalifikacji zawodowych nabytych w państwach członkowskich UE (Dz. U.      z 2016 r. poz. 65).</w:t>
            </w:r>
          </w:p>
          <w:p w:rsidR="00767907" w:rsidRDefault="00EA1925">
            <w:pPr>
              <w:numPr>
                <w:ilvl w:val="0"/>
                <w:numId w:val="10"/>
              </w:numPr>
              <w:spacing w:after="29" w:line="238" w:lineRule="auto"/>
              <w:ind w:right="2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Sytuacji ekonomicznej lub finansowej – w celu potwierdzenia spełnienia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przez Wykonawcę warunku udziału w postępowaniu Zamawiający żąda: a) potwierdzenia, że Wykonawca jest ubezpieczony od odpowiedzialności cywilnej w zakresie prowadzonej działalności związanej z przedmiotem zamówienia na sumę gwarancyjną na jeden wypadek </w:t>
            </w:r>
            <w:r>
              <w:rPr>
                <w:rFonts w:ascii="Times New Roman" w:eastAsia="Times New Roman" w:hAnsi="Times New Roman" w:cs="Times New Roman"/>
                <w:sz w:val="24"/>
              </w:rPr>
              <w:t>ubezpieczeniowy nie niższą niż 100 000,00 zł.</w:t>
            </w:r>
          </w:p>
          <w:p w:rsidR="00767907" w:rsidRDefault="00EA1925">
            <w:pPr>
              <w:numPr>
                <w:ilvl w:val="0"/>
                <w:numId w:val="10"/>
              </w:numPr>
              <w:spacing w:after="28" w:line="240" w:lineRule="auto"/>
              <w:ind w:right="254"/>
            </w:pPr>
            <w:r>
              <w:rPr>
                <w:rFonts w:ascii="Times New Roman" w:eastAsia="Times New Roman" w:hAnsi="Times New Roman" w:cs="Times New Roman"/>
                <w:sz w:val="24"/>
              </w:rPr>
              <w:t>Zamawiający może, na każdym etapie postępowania, uznać, że Wykonawca nie posiada wymaganych zdolności, jeżeli zaangażowanie zasobów technicznych lub zawodowych Wykonawcy w inne przedsięwzięcia gospodarcze Wykon</w:t>
            </w:r>
            <w:r>
              <w:rPr>
                <w:rFonts w:ascii="Times New Roman" w:eastAsia="Times New Roman" w:hAnsi="Times New Roman" w:cs="Times New Roman"/>
                <w:sz w:val="24"/>
              </w:rPr>
              <w:t>awcy może mieć negatywny wpływ na realizację zamówienia.</w:t>
            </w:r>
          </w:p>
          <w:p w:rsidR="00767907" w:rsidRDefault="00EA1925">
            <w:pPr>
              <w:numPr>
                <w:ilvl w:val="0"/>
                <w:numId w:val="10"/>
              </w:numPr>
              <w:spacing w:after="27" w:line="240" w:lineRule="auto"/>
              <w:ind w:right="254"/>
            </w:pPr>
            <w:r>
              <w:rPr>
                <w:rFonts w:ascii="Times New Roman" w:eastAsia="Times New Roman" w:hAnsi="Times New Roman" w:cs="Times New Roman"/>
                <w:sz w:val="24"/>
              </w:rPr>
              <w:t>Wykonawca może w celu potwierdzenia spełniania warunków udziału w postępowaniu polegać na zdolnościach technicznych lub zawodowych lub sytuacji finansowej lub ekonomicznej innych podmiotów, niezależn</w:t>
            </w:r>
            <w:r>
              <w:rPr>
                <w:rFonts w:ascii="Times New Roman" w:eastAsia="Times New Roman" w:hAnsi="Times New Roman" w:cs="Times New Roman"/>
                <w:sz w:val="24"/>
              </w:rPr>
              <w:t>ie od charakteru prawnego łączących go z nimi stosunków.</w:t>
            </w:r>
          </w:p>
          <w:p w:rsidR="00767907" w:rsidRDefault="00EA1925">
            <w:pPr>
              <w:numPr>
                <w:ilvl w:val="0"/>
                <w:numId w:val="10"/>
              </w:numPr>
              <w:spacing w:after="0"/>
              <w:ind w:right="2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Ocena spełnienia warunków udziału w postępowaniu będzie przeprowadzona w oparciu o przedłożone przez wykonawców dokumenty i oświadczenia.  </w:t>
            </w:r>
          </w:p>
        </w:tc>
      </w:tr>
      <w:tr w:rsidR="00767907">
        <w:trPr>
          <w:trHeight w:val="71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Warunki wykluczenia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Z postępowania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 udzielenie zamówienia Zamawiający odrzuci ofertę:</w:t>
            </w:r>
          </w:p>
          <w:p w:rsidR="00767907" w:rsidRDefault="00EA1925">
            <w:p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której treść nie odpowiada treści zapytania ofertowego lub została złożona przez podmiot:</w:t>
            </w:r>
          </w:p>
          <w:p w:rsidR="00767907" w:rsidRDefault="00EA1925">
            <w:pPr>
              <w:numPr>
                <w:ilvl w:val="0"/>
                <w:numId w:val="11"/>
              </w:numPr>
              <w:spacing w:after="26" w:line="241" w:lineRule="auto"/>
              <w:ind w:right="331"/>
            </w:pPr>
            <w:r>
              <w:rPr>
                <w:rFonts w:ascii="Times New Roman" w:eastAsia="Times New Roman" w:hAnsi="Times New Roman" w:cs="Times New Roman"/>
                <w:sz w:val="24"/>
              </w:rPr>
              <w:t>niespełniający warunków udziału w postępowaniu w sprawie wyboru  wykonawcy danego zadania ujętego w zestawieni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 rzeczowo-finansowym operacji określonych w zapytaniu ofertowym </w:t>
            </w:r>
          </w:p>
          <w:p w:rsidR="00767907" w:rsidRDefault="00EA1925">
            <w:pPr>
              <w:numPr>
                <w:ilvl w:val="0"/>
                <w:numId w:val="11"/>
              </w:numPr>
              <w:spacing w:after="28" w:line="240" w:lineRule="auto"/>
              <w:ind w:right="331"/>
            </w:pPr>
            <w:r>
              <w:rPr>
                <w:rFonts w:ascii="Times New Roman" w:eastAsia="Times New Roman" w:hAnsi="Times New Roman" w:cs="Times New Roman"/>
                <w:sz w:val="24"/>
              </w:rPr>
              <w:t>powiązanego osobowo lub kapitałowo z Zamawiającym lub osobami, upoważnionymi do zaciągania zobowiązań w jego imieniu, lub osobami  wykonującymi w jego imieniu czynności związane z przygotowa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niem i przeprowadzeniem postępowania w sprawie wyboru wykonawcy a wykonawcą. Wymienione wyżej powiązania polegają na: </w:t>
            </w:r>
          </w:p>
          <w:p w:rsidR="00767907" w:rsidRDefault="00EA1925">
            <w:pPr>
              <w:numPr>
                <w:ilvl w:val="0"/>
                <w:numId w:val="12"/>
              </w:numPr>
              <w:spacing w:after="12"/>
              <w:ind w:right="4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uczestniczeniu jako wspólnik w spółce cywilnej lub osobowej; </w:t>
            </w:r>
          </w:p>
          <w:p w:rsidR="00767907" w:rsidRDefault="00EA1925">
            <w:pPr>
              <w:numPr>
                <w:ilvl w:val="0"/>
                <w:numId w:val="12"/>
              </w:numPr>
              <w:spacing w:after="8" w:line="256" w:lineRule="auto"/>
              <w:ind w:right="427"/>
            </w:pPr>
            <w:r>
              <w:rPr>
                <w:rFonts w:ascii="Times New Roman" w:eastAsia="Times New Roman" w:hAnsi="Times New Roman" w:cs="Times New Roman"/>
                <w:sz w:val="24"/>
              </w:rPr>
              <w:t>posiadaniu co najmniej 10% udziałów lub akcji spółki kapitałowej; •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pełnieniu funkcji członka organu nadzorczego lub zarządzającego, prokurenta lub pełnomocnika; </w:t>
            </w:r>
          </w:p>
          <w:p w:rsidR="00767907" w:rsidRDefault="00EA1925">
            <w:pPr>
              <w:numPr>
                <w:ilvl w:val="0"/>
                <w:numId w:val="12"/>
              </w:numPr>
              <w:spacing w:after="0"/>
              <w:ind w:right="4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pozostawaniu w związku małżeńskim, w stosunku pokrewieństwa lub  </w:t>
            </w:r>
          </w:p>
          <w:p w:rsidR="00767907" w:rsidRDefault="00EA1925">
            <w:pPr>
              <w:spacing w:after="2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powinowactwa w linii prostej, pokrewieństwa drugiego stopnia lub  powinowactwa drugiego stopnia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 linii bocznej lub w stosunku  przysposobienia, opieki lub kurateli; </w:t>
            </w:r>
          </w:p>
          <w:p w:rsidR="00767907" w:rsidRDefault="00EA1925">
            <w:pPr>
              <w:numPr>
                <w:ilvl w:val="0"/>
                <w:numId w:val="12"/>
              </w:numPr>
              <w:spacing w:after="27" w:line="240" w:lineRule="auto"/>
              <w:ind w:right="4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pozostawaniu z wykonawcą w takim stosunku prawnym lub faktycznym,  że może to budzić uzasadnione wątpliwości co do bezstronności tych  osób; </w:t>
            </w:r>
          </w:p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która została złożona po terminie skład</w:t>
            </w:r>
            <w:r>
              <w:rPr>
                <w:rFonts w:ascii="Times New Roman" w:eastAsia="Times New Roman" w:hAnsi="Times New Roman" w:cs="Times New Roman"/>
                <w:sz w:val="24"/>
              </w:rPr>
              <w:t>ania ofert określonym w zapytaniu ofertowym.</w:t>
            </w:r>
          </w:p>
        </w:tc>
      </w:tr>
      <w:tr w:rsidR="00767907">
        <w:trPr>
          <w:trHeight w:val="13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  <w:ind w:righ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Dodatkowe informacje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2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przypadku Wykonawców wspólnie ubiegających się o udzielenie          zamówienia:</w:t>
            </w:r>
          </w:p>
          <w:p w:rsidR="00767907" w:rsidRDefault="00EA1925">
            <w:pPr>
              <w:numPr>
                <w:ilvl w:val="0"/>
                <w:numId w:val="13"/>
              </w:num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warunki udziału w postępowaniu, o których mowa w pkt 5A SIWZ  muszą zostać spełnione przez wykonawców </w:t>
            </w:r>
            <w:r>
              <w:rPr>
                <w:rFonts w:ascii="Times New Roman" w:eastAsia="Times New Roman" w:hAnsi="Times New Roman" w:cs="Times New Roman"/>
                <w:sz w:val="24"/>
              </w:rPr>
              <w:t>łącznie.</w:t>
            </w:r>
          </w:p>
          <w:p w:rsidR="00767907" w:rsidRDefault="00EA1925">
            <w:pPr>
              <w:numPr>
                <w:ilvl w:val="0"/>
                <w:numId w:val="1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Oferta Wykonawcy, który nie wykaże spełniania wymaganych </w:t>
            </w:r>
          </w:p>
        </w:tc>
      </w:tr>
      <w:tr w:rsidR="00767907">
        <w:trPr>
          <w:trHeight w:val="81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warunków udziału w postępowaniu zostanie odrzucona.</w:t>
            </w:r>
          </w:p>
        </w:tc>
      </w:tr>
      <w:tr w:rsidR="00767907">
        <w:trPr>
          <w:trHeight w:val="52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Załączniki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numPr>
                <w:ilvl w:val="0"/>
                <w:numId w:val="14"/>
              </w:numPr>
              <w:spacing w:after="28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Dokumentacja do zamówienia Skatepark.doc</w:t>
            </w:r>
          </w:p>
          <w:p w:rsidR="00767907" w:rsidRDefault="00F44328">
            <w:pPr>
              <w:numPr>
                <w:ilvl w:val="0"/>
                <w:numId w:val="14"/>
              </w:numPr>
              <w:spacing w:after="28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zał. nr 2 - oś</w:t>
            </w:r>
            <w:r w:rsidR="00EA1925">
              <w:rPr>
                <w:rFonts w:ascii="Times New Roman" w:eastAsia="Times New Roman" w:hAnsi="Times New Roman" w:cs="Times New Roman"/>
                <w:sz w:val="24"/>
              </w:rPr>
              <w:t>wiadczenie O WYKLUCZENIU.doc</w:t>
            </w:r>
          </w:p>
          <w:p w:rsidR="00767907" w:rsidRDefault="00EA1925">
            <w:pPr>
              <w:numPr>
                <w:ilvl w:val="0"/>
                <w:numId w:val="14"/>
              </w:numPr>
              <w:spacing w:after="28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zał.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nr 1 - wzór formularza ofertowego.doc</w:t>
            </w:r>
          </w:p>
          <w:p w:rsidR="00767907" w:rsidRDefault="00EA1925">
            <w:pPr>
              <w:numPr>
                <w:ilvl w:val="0"/>
                <w:numId w:val="14"/>
              </w:numPr>
              <w:spacing w:after="285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zał. nr 4 - wzór wykazu robót budowlanych (1).doc</w:t>
            </w:r>
          </w:p>
          <w:p w:rsidR="00767907" w:rsidRDefault="00EA1925">
            <w:pPr>
              <w:numPr>
                <w:ilvl w:val="0"/>
                <w:numId w:val="14"/>
              </w:numPr>
              <w:spacing w:after="28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zał. nr 7 - przedmiar.pdf</w:t>
            </w:r>
          </w:p>
          <w:p w:rsidR="00767907" w:rsidRDefault="00EA1925">
            <w:pPr>
              <w:numPr>
                <w:ilvl w:val="0"/>
                <w:numId w:val="14"/>
              </w:numPr>
              <w:spacing w:after="28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zał. nr 6 - brak pow. kapitałowych.docx</w:t>
            </w:r>
          </w:p>
          <w:p w:rsidR="00767907" w:rsidRDefault="00EA1925">
            <w:pPr>
              <w:numPr>
                <w:ilvl w:val="0"/>
                <w:numId w:val="14"/>
              </w:numPr>
              <w:spacing w:after="28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zał. nr 8 - umowa-projekt.doc</w:t>
            </w:r>
          </w:p>
          <w:p w:rsidR="00767907" w:rsidRDefault="00EA1925">
            <w:pPr>
              <w:numPr>
                <w:ilvl w:val="0"/>
                <w:numId w:val="14"/>
              </w:numPr>
              <w:spacing w:after="28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zał. nr 3 - wzór ośw. o podwykonawcach.docx</w:t>
            </w:r>
          </w:p>
          <w:p w:rsidR="00767907" w:rsidRDefault="00EA1925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zał. nr 5 - wzór ośw. na te</w:t>
            </w:r>
            <w:r>
              <w:rPr>
                <w:rFonts w:ascii="Times New Roman" w:eastAsia="Times New Roman" w:hAnsi="Times New Roman" w:cs="Times New Roman"/>
                <w:sz w:val="24"/>
              </w:rPr>
              <w:t>mat wykształcenia i kwalifikacji.doc</w:t>
            </w:r>
          </w:p>
        </w:tc>
      </w:tr>
    </w:tbl>
    <w:tbl>
      <w:tblPr>
        <w:tblStyle w:val="TableGrid"/>
        <w:tblpPr w:vertAnchor="page" w:horzAnchor="page" w:tblpX="725" w:tblpY="14293"/>
        <w:tblOverlap w:val="never"/>
        <w:tblW w:w="10456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Jacek</w:t>
            </w:r>
          </w:p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Nazwisko: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Kłodowski</w:t>
            </w:r>
          </w:p>
        </w:tc>
      </w:tr>
    </w:tbl>
    <w:p w:rsidR="00767907" w:rsidRDefault="00EA192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Miejsce składania ofert</w:t>
      </w:r>
    </w:p>
    <w:tbl>
      <w:tblPr>
        <w:tblStyle w:val="TableGrid"/>
        <w:tblW w:w="10456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Województwo: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PODKARPACKIE</w:t>
            </w:r>
          </w:p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Powiat: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bieszczadzki</w:t>
            </w:r>
          </w:p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Gmina: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Ustrzyki Dolne (gmina miejsko-wiejska)</w:t>
            </w:r>
          </w:p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Miejscowość: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Ustrzyki Dolne</w:t>
            </w:r>
          </w:p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Kod pocztowy: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38-700</w:t>
            </w:r>
          </w:p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Ulica: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ul. 29 Listopada</w:t>
            </w:r>
          </w:p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domu: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lokalu: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Email: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Numer FAX: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firmy/osoba kontaktowa: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tabs>
                <w:tab w:val="center" w:pos="241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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Ustrzyckie Stowarzyszenie Kultury </w:t>
            </w:r>
          </w:p>
        </w:tc>
      </w:tr>
    </w:tbl>
    <w:p w:rsidR="00767907" w:rsidRDefault="00EA1925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Dane Zamawiającego</w:t>
      </w:r>
    </w:p>
    <w:tbl>
      <w:tblPr>
        <w:tblStyle w:val="TableGrid"/>
        <w:tblW w:w="10456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Gmina Ustrzyki Dolne</w:t>
            </w:r>
          </w:p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Email: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</w:tr>
      <w:tr w:rsidR="00767907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Numer telefonu: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+48134608005</w:t>
            </w:r>
          </w:p>
        </w:tc>
      </w:tr>
    </w:tbl>
    <w:p w:rsidR="00767907" w:rsidRDefault="00EA1925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Historia ogłoszenia</w:t>
      </w:r>
    </w:p>
    <w:tbl>
      <w:tblPr>
        <w:tblStyle w:val="TableGrid"/>
        <w:tblW w:w="10456" w:type="dxa"/>
        <w:tblInd w:w="3" w:type="dxa"/>
        <w:tblCellMar>
          <w:top w:w="8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20"/>
        <w:gridCol w:w="2093"/>
        <w:gridCol w:w="1821"/>
        <w:gridCol w:w="1408"/>
        <w:gridCol w:w="2814"/>
      </w:tblGrid>
      <w:tr w:rsidR="00767907">
        <w:trPr>
          <w:trHeight w:val="419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Id ogłoszenia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edycji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Status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907" w:rsidRDefault="00767907"/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Zakres zmian</w:t>
            </w:r>
          </w:p>
        </w:tc>
      </w:tr>
      <w:tr w:rsidR="00767907">
        <w:trPr>
          <w:trHeight w:val="58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20/13/02/2020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13.02.2020 </w:t>
            </w:r>
          </w:p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10:17:38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Opublikowano ogłoszenie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Brak zmian</w:t>
            </w: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</w:tr>
      <w:tr w:rsidR="00767907">
        <w:trPr>
          <w:trHeight w:val="58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20/13/02/2020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13.02.2020 </w:t>
            </w:r>
          </w:p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10:16:59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Utworzono ogłoszenie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907" w:rsidRDefault="00EA192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Brak zmian</w:t>
            </w: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907" w:rsidRDefault="00767907"/>
        </w:tc>
      </w:tr>
    </w:tbl>
    <w:p w:rsidR="00EA1925" w:rsidRDefault="00EA1925"/>
    <w:sectPr w:rsidR="00EA1925">
      <w:footerReference w:type="even" r:id="rId8"/>
      <w:footerReference w:type="default" r:id="rId9"/>
      <w:footerReference w:type="first" r:id="rId10"/>
      <w:pgSz w:w="11906" w:h="16838"/>
      <w:pgMar w:top="725" w:right="702" w:bottom="110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25" w:rsidRDefault="00EA1925">
      <w:pPr>
        <w:spacing w:after="0" w:line="240" w:lineRule="auto"/>
      </w:pPr>
      <w:r>
        <w:separator/>
      </w:r>
    </w:p>
  </w:endnote>
  <w:endnote w:type="continuationSeparator" w:id="0">
    <w:p w:rsidR="00EA1925" w:rsidRDefault="00EA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07" w:rsidRDefault="00EA1925">
    <w:pPr>
      <w:spacing w:after="0"/>
      <w:ind w:right="18"/>
      <w:jc w:val="right"/>
    </w:pPr>
    <w:r>
      <w:rPr>
        <w:rFonts w:ascii="Times New Roman" w:eastAsia="Times New Roman" w:hAnsi="Times New Roman" w:cs="Times New Roman"/>
        <w:sz w:val="16"/>
      </w:rPr>
      <w:t xml:space="preserve">str.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</w:p>
  <w:p w:rsidR="00767907" w:rsidRDefault="00EA1925">
    <w:pPr>
      <w:spacing w:after="0"/>
      <w:ind w:right="18"/>
      <w:jc w:val="center"/>
    </w:pPr>
    <w:r>
      <w:rPr>
        <w:rFonts w:ascii="Tahoma" w:eastAsia="Tahoma" w:hAnsi="Tahoma" w:cs="Tahoma"/>
        <w:sz w:val="16"/>
      </w:rPr>
      <w:t>Wydruk wykonany przy pomocy Portalu Ogłoszeń ARiMR wersja 2.1.20 Agencja Restrukturyzacji i Modernizacji Rolnictwa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07" w:rsidRDefault="00EA1925">
    <w:pPr>
      <w:spacing w:after="0"/>
      <w:ind w:right="18"/>
      <w:jc w:val="right"/>
    </w:pPr>
    <w:r>
      <w:rPr>
        <w:rFonts w:ascii="Times New Roman" w:eastAsia="Times New Roman" w:hAnsi="Times New Roman" w:cs="Times New Roman"/>
        <w:sz w:val="16"/>
      </w:rPr>
      <w:t xml:space="preserve">str.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F44328">
      <w:rPr>
        <w:rFonts w:ascii="Times New Roman" w:eastAsia="Times New Roman" w:hAnsi="Times New Roman" w:cs="Times New Roman"/>
        <w:noProof/>
        <w:sz w:val="16"/>
      </w:rPr>
      <w:t>9</w:t>
    </w:r>
    <w:r>
      <w:rPr>
        <w:rFonts w:ascii="Times New Roman" w:eastAsia="Times New Roman" w:hAnsi="Times New Roman" w:cs="Times New Roman"/>
        <w:sz w:val="16"/>
      </w:rPr>
      <w:fldChar w:fldCharType="end"/>
    </w:r>
  </w:p>
  <w:p w:rsidR="00767907" w:rsidRDefault="00EA1925">
    <w:pPr>
      <w:spacing w:after="0"/>
      <w:ind w:right="18"/>
      <w:jc w:val="center"/>
    </w:pPr>
    <w:r>
      <w:rPr>
        <w:rFonts w:ascii="Tahoma" w:eastAsia="Tahoma" w:hAnsi="Tahoma" w:cs="Tahoma"/>
        <w:sz w:val="16"/>
      </w:rPr>
      <w:t>Wydruk wykonany przy pomocy Portalu Ogłoszeń ARiMR wersja 2.1.20 Agencja Restruktu</w:t>
    </w:r>
    <w:r>
      <w:rPr>
        <w:rFonts w:ascii="Tahoma" w:eastAsia="Tahoma" w:hAnsi="Tahoma" w:cs="Tahoma"/>
        <w:sz w:val="16"/>
      </w:rPr>
      <w:t>ryzacji i Modernizacji Rolnictwa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07" w:rsidRDefault="00EA1925">
    <w:pPr>
      <w:spacing w:after="0"/>
      <w:ind w:right="18"/>
      <w:jc w:val="right"/>
    </w:pPr>
    <w:r>
      <w:rPr>
        <w:rFonts w:ascii="Times New Roman" w:eastAsia="Times New Roman" w:hAnsi="Times New Roman" w:cs="Times New Roman"/>
        <w:sz w:val="16"/>
      </w:rPr>
      <w:t xml:space="preserve">str.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</w:p>
  <w:p w:rsidR="00767907" w:rsidRDefault="00EA1925">
    <w:pPr>
      <w:spacing w:after="0"/>
      <w:ind w:right="18"/>
      <w:jc w:val="center"/>
    </w:pPr>
    <w:r>
      <w:rPr>
        <w:rFonts w:ascii="Tahoma" w:eastAsia="Tahoma" w:hAnsi="Tahoma" w:cs="Tahoma"/>
        <w:sz w:val="16"/>
      </w:rPr>
      <w:t>Wydruk wykonany przy pomocy Portalu Ogłoszeń ARiMR wersja 2.1.20 Agencja Restrukturyzacji i Modernizacji Rolnictwa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25" w:rsidRDefault="00EA1925">
      <w:pPr>
        <w:spacing w:after="0" w:line="240" w:lineRule="auto"/>
      </w:pPr>
      <w:r>
        <w:separator/>
      </w:r>
    </w:p>
  </w:footnote>
  <w:footnote w:type="continuationSeparator" w:id="0">
    <w:p w:rsidR="00EA1925" w:rsidRDefault="00EA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28B3"/>
    <w:multiLevelType w:val="hybridMultilevel"/>
    <w:tmpl w:val="35CAD9DC"/>
    <w:lvl w:ilvl="0" w:tplc="4B9CF1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69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E72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E6D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8D1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668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807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8DF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890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07FEB"/>
    <w:multiLevelType w:val="hybridMultilevel"/>
    <w:tmpl w:val="508ECA38"/>
    <w:lvl w:ilvl="0" w:tplc="40F67E6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EB6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029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C80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621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8FE9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4CA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8AE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C6C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C31A4"/>
    <w:multiLevelType w:val="hybridMultilevel"/>
    <w:tmpl w:val="27BC99B0"/>
    <w:lvl w:ilvl="0" w:tplc="674A0F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A2DD8">
      <w:start w:val="1"/>
      <w:numFmt w:val="bullet"/>
      <w:lvlText w:val="o"/>
      <w:lvlJc w:val="left"/>
      <w:pPr>
        <w:ind w:left="1548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A5948">
      <w:start w:val="1"/>
      <w:numFmt w:val="bullet"/>
      <w:lvlText w:val="▪"/>
      <w:lvlJc w:val="left"/>
      <w:pPr>
        <w:ind w:left="2268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A9B9C">
      <w:start w:val="1"/>
      <w:numFmt w:val="bullet"/>
      <w:lvlText w:val="•"/>
      <w:lvlJc w:val="left"/>
      <w:pPr>
        <w:ind w:left="2988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67728">
      <w:start w:val="1"/>
      <w:numFmt w:val="bullet"/>
      <w:lvlText w:val="o"/>
      <w:lvlJc w:val="left"/>
      <w:pPr>
        <w:ind w:left="3708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2F310">
      <w:start w:val="1"/>
      <w:numFmt w:val="bullet"/>
      <w:lvlText w:val="▪"/>
      <w:lvlJc w:val="left"/>
      <w:pPr>
        <w:ind w:left="4428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0FBD2">
      <w:start w:val="1"/>
      <w:numFmt w:val="bullet"/>
      <w:lvlText w:val="•"/>
      <w:lvlJc w:val="left"/>
      <w:pPr>
        <w:ind w:left="5148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26368">
      <w:start w:val="1"/>
      <w:numFmt w:val="bullet"/>
      <w:lvlText w:val="o"/>
      <w:lvlJc w:val="left"/>
      <w:pPr>
        <w:ind w:left="5868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65184">
      <w:start w:val="1"/>
      <w:numFmt w:val="bullet"/>
      <w:lvlText w:val="▪"/>
      <w:lvlJc w:val="left"/>
      <w:pPr>
        <w:ind w:left="6588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32182F"/>
    <w:multiLevelType w:val="hybridMultilevel"/>
    <w:tmpl w:val="083C5F8C"/>
    <w:lvl w:ilvl="0" w:tplc="FBBABF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857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7A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AC4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F5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4B2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E4D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486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A4A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0C0151"/>
    <w:multiLevelType w:val="hybridMultilevel"/>
    <w:tmpl w:val="461613F8"/>
    <w:lvl w:ilvl="0" w:tplc="84C88C60">
      <w:start w:val="3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8E3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2E6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CFD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ADE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613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2E9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414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6D9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806472"/>
    <w:multiLevelType w:val="hybridMultilevel"/>
    <w:tmpl w:val="56DE051C"/>
    <w:lvl w:ilvl="0" w:tplc="85488CB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294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6FF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257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AA8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279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25B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6D8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8D4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5D6E2E"/>
    <w:multiLevelType w:val="hybridMultilevel"/>
    <w:tmpl w:val="4C78062C"/>
    <w:lvl w:ilvl="0" w:tplc="0CB8398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4DF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28B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EDE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E24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0FD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EA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885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877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2239C"/>
    <w:multiLevelType w:val="hybridMultilevel"/>
    <w:tmpl w:val="7C68FF9A"/>
    <w:lvl w:ilvl="0" w:tplc="6B2CD8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C19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A57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14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2C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B0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E9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06F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44A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1C0C0B"/>
    <w:multiLevelType w:val="hybridMultilevel"/>
    <w:tmpl w:val="74BA89F8"/>
    <w:lvl w:ilvl="0" w:tplc="8BBC1CF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05E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C28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44B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07F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242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052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6CC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859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F3768C"/>
    <w:multiLevelType w:val="hybridMultilevel"/>
    <w:tmpl w:val="59F2F47A"/>
    <w:lvl w:ilvl="0" w:tplc="B68A592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819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AC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21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E4F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0F8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53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486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4DB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5F3616"/>
    <w:multiLevelType w:val="hybridMultilevel"/>
    <w:tmpl w:val="44CA63B4"/>
    <w:lvl w:ilvl="0" w:tplc="77C2B2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B4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E48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8AB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068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8F2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2CC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C09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018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B073DA"/>
    <w:multiLevelType w:val="hybridMultilevel"/>
    <w:tmpl w:val="6B9478A8"/>
    <w:lvl w:ilvl="0" w:tplc="5EB0DA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ABE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8BD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C92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F9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4C8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8DA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28B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831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1A42EF"/>
    <w:multiLevelType w:val="hybridMultilevel"/>
    <w:tmpl w:val="F57ADC58"/>
    <w:lvl w:ilvl="0" w:tplc="B08A3DA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42B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C49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A67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CF2F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45B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06D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CD0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EC5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091A51"/>
    <w:multiLevelType w:val="hybridMultilevel"/>
    <w:tmpl w:val="A58451BA"/>
    <w:lvl w:ilvl="0" w:tplc="AD7E6064">
      <w:start w:val="1"/>
      <w:numFmt w:val="lowerLetter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C358C">
      <w:start w:val="1"/>
      <w:numFmt w:val="lowerLetter"/>
      <w:lvlText w:val="%2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A498E">
      <w:start w:val="1"/>
      <w:numFmt w:val="lowerRoman"/>
      <w:lvlText w:val="%3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86928">
      <w:start w:val="1"/>
      <w:numFmt w:val="decimal"/>
      <w:lvlText w:val="%4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40776">
      <w:start w:val="1"/>
      <w:numFmt w:val="lowerLetter"/>
      <w:lvlText w:val="%5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8591E">
      <w:start w:val="1"/>
      <w:numFmt w:val="lowerRoman"/>
      <w:lvlText w:val="%6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0FF02">
      <w:start w:val="1"/>
      <w:numFmt w:val="decimal"/>
      <w:lvlText w:val="%7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E2B66">
      <w:start w:val="1"/>
      <w:numFmt w:val="lowerLetter"/>
      <w:lvlText w:val="%8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E1C52">
      <w:start w:val="1"/>
      <w:numFmt w:val="lowerRoman"/>
      <w:lvlText w:val="%9"/>
      <w:lvlJc w:val="left"/>
      <w:pPr>
        <w:ind w:left="7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07"/>
    <w:rsid w:val="00767907"/>
    <w:rsid w:val="00EA1925"/>
    <w:rsid w:val="00F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906C8EC-C96B-4303-9827-1C928DA1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/>
  <cp:revision>1</cp:revision>
  <dcterms:created xsi:type="dcterms:W3CDTF">2020-02-13T09:20:00Z</dcterms:created>
  <dcterms:modified xsi:type="dcterms:W3CDTF">2020-02-13T09:20:00Z</dcterms:modified>
</cp:coreProperties>
</file>